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Тарифы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Настоящие Тарифы являются неотъемлемой частью Публичной оферты с Партнёром (Преподавателем) и применяются в совокупности с ней. Термины используются в значениях, определённых указанной Офертой и Пользовательским соглашением.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1. Комиссионное вознаграждение Оператора</w:t>
        <w:br w:type="textWrapping"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Стандартный размер вознаграждения Оператора (комиссии) за размещение и продажу курсов —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20% от цены курса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.</w:t>
        <w:br w:type="textWrapping"/>
        <w:t xml:space="preserve">Для Партнёров, заключивших договор в период запуска Платформы, применяется льготная ставка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10% от цены курса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(founding rate). Льготная ставка действует в течение первых 12 (двенадцати) месяцев с даты акцепта Оферты с Партнёром либо до достижения 50 (пятидесяти) продаж курсов Партнёра — в зависимости от того, что наступит ранее. По истечении льготного периода применяется стандартная ставка, если Оператором не установлена иная (пониженная) ставка в порядке п. 8.4 Оферты с Партнёром.</w:t>
        <w:br w:type="textWrapping"/>
        <w:t xml:space="preserve">Дифференциация ставки по категориям курсов на текущем этапе не применяется.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2. Порядок удержания вознаграждения</w:t>
        <w:br w:type="textWrapping"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Оператор удерживает вознаграждение из сумм, поступивших от Учеников, и перечисляет Партнёру остаток (п. 8.2 Оферты с Партнёром). Минимальная цена курса —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990 ₽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3. Сроки и периодичность выплат Партнёрам</w:t>
        <w:br w:type="textWrapping"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Выплаты производятся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ежемесячно, до 10 (десятого) числа месяца, следующего за отчётным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по заказам, по которым на дату формирования реестра выплат истёк холд-период. Холд-период перед выплатой —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7 (семь) дней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с даты поступления оплаты от Ученика. Перечисление средств осуществляется через расчётную инфраструктуру Платформы в течение 3 (трёх) рабочих дней с даты формирования реестра выплат.</w:t>
        <w:br w:type="textWrapping"/>
        <w:t xml:space="preserve">Финансовый отчёт за предыдущий месяц предоставляется Партнёру не позднее 5-го (пятого) числа в порядке п. 9.1.1 Оферты с Партнёром.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4. Минимальная сумма выплаты и способы</w:t>
        <w:br w:type="textWrapping"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Минимальная сумма выплаты —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500 ₽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. Если на дату выплаты сумма к перечислению меньше минимальной, остаток переносится на следующий период до достижения минимальной суммы. Выплаты производятся на реквизиты Партнёра, соответствующие его статусу (самозанятого — плательщика НПД либо индивидуального предпринимателя), указанные в Личном кабинете.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5. Распределение удержаний и расходов при возврате</w:t>
        <w:br w:type="textWrapping"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При возврате средств Ученику вознаграждение Оператора пересчитывается от суммы, фактически удержанной с Ученика (п. 10.8 Оферты с Партнёром). Расходы (комиссии) платёжных систем, связанные с возвратом денежных средств Ученику,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несёт Оператор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и на Партнёра не относятся.</w:t>
        <w:br w:type="textWrapping"/>
        <w:t xml:space="preserve">Порядок покрытия отрицательного баланса и возвратных платежей (chargeback) регулируется п. 10.9 Оферты с Партнёром. Резервирование части выплат Партнёру (п. 10.9.5 Оферты с Партнёром) на текущем этапе не применяется; Оператор вправе ввести резерв при существенном росте доли возвратов и возвратных платежей, уведомив Партнёров в порядке п. 6 настоящих Тарифов.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6. Порядок и сроки уведомления об изменении Тарифов</w:t>
        <w:br w:type="textWrapping"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Оператор уведомляет Партнёров об изменении Тарифов не менее чем за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5 (пять) дней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до вступления изменений в силу, через Личный кабинет и (или) по электронной почте (п. 8.3 Оферты с Партнёром). Установление, изменение или отмена индивидуальных (в том числе льготных) ставок, преференций, бонусов и скидок в порядке п. 8.4 Оферты с Партнёром изменением Тарифов в смысле настоящего пункта не является и вступает в силу в срок, указанный в уведомлении, включая незамедлительно.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2e5496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fYRwjNA6BqVAOpd9ytSYXaXzTg==">CgMxLjA4AHIhMV9qZXpGVzUyVE5FT2VBLTJXT1hkQnNpNHdMaXdGNkJD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